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6840" w:h="11900" w:orient="landscape"/>
          <w:pgMar w:top="1664" w:right="1481" w:bottom="1192" w:left="1475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2928" w:h="276" w:wrap="none" w:vAnchor="text" w:hAnchor="page" w:x="154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Vertical Electrophoresis Tank</w:t>
      </w:r>
    </w:p>
    <w:p>
      <w:pPr>
        <w:pStyle w:val="Style6"/>
        <w:keepNext w:val="0"/>
        <w:keepLines w:val="0"/>
        <w:framePr w:w="2826" w:h="276" w:wrap="none" w:vAnchor="text" w:hAnchor="page" w:x="910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Vertical Electrophoresis Tank</w:t>
      </w:r>
    </w:p>
    <w:p>
      <w:pPr>
        <w:pStyle w:val="Style8"/>
        <w:keepNext w:val="0"/>
        <w:keepLines w:val="0"/>
        <w:framePr w:w="2382" w:h="1662" w:wrap="none" w:vAnchor="text" w:hAnchor="page" w:x="1536" w:y="118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Application:</w:t>
      </w:r>
    </w:p>
    <w:p>
      <w:pPr>
        <w:pStyle w:val="Style8"/>
        <w:keepNext w:val="0"/>
        <w:keepLines w:val="0"/>
        <w:framePr w:w="2382" w:h="1662" w:wrap="none" w:vAnchor="text" w:hAnchor="page" w:x="1536" w:y="1189"/>
        <w:widowControl w:val="0"/>
        <w:shd w:val="clear" w:color="auto" w:fill="auto"/>
        <w:bidi w:val="0"/>
        <w:spacing w:before="0" w:after="50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Vertical electrophoresis is used for separation, purification and preparation of nucleic acid and protein samples in life science research.</w:t>
      </w:r>
    </w:p>
    <w:p>
      <w:pPr>
        <w:pStyle w:val="Style8"/>
        <w:keepNext w:val="0"/>
        <w:keepLines w:val="0"/>
        <w:framePr w:w="2382" w:h="1662" w:wrap="none" w:vAnchor="text" w:hAnchor="page" w:x="1536" w:y="118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Features:</w:t>
      </w:r>
    </w:p>
    <w:p>
      <w:pPr>
        <w:pStyle w:val="Style8"/>
        <w:keepNext w:val="0"/>
        <w:keepLines w:val="0"/>
        <w:framePr w:w="2382" w:h="984" w:wrap="none" w:vAnchor="text" w:hAnchor="page" w:x="12768" w:y="118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Application:</w:t>
      </w:r>
    </w:p>
    <w:p>
      <w:pPr>
        <w:pStyle w:val="Style8"/>
        <w:keepNext w:val="0"/>
        <w:keepLines w:val="0"/>
        <w:framePr w:w="2382" w:h="984" w:wrap="none" w:vAnchor="text" w:hAnchor="page" w:x="12768" w:y="1189"/>
        <w:widowControl w:val="0"/>
        <w:shd w:val="clear" w:color="auto" w:fill="auto"/>
        <w:bidi w:val="0"/>
        <w:spacing w:before="0" w:after="0" w:line="43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Vertical electrophoresis is used for separation, purification and preparation of nucleic acid and protein samples in life science research.</w:t>
      </w:r>
    </w:p>
    <w:p>
      <w:pPr>
        <w:widowControl w:val="0"/>
        <w:spacing w:line="360" w:lineRule="exact"/>
      </w:pPr>
      <w:r>
        <w:drawing>
          <wp:anchor distT="0" distB="53340" distL="1592580" distR="0" simplePos="0" relativeHeight="62914692" behindDoc="1" locked="0" layoutInCell="1" allowOverlap="1">
            <wp:simplePos x="0" y="0"/>
            <wp:positionH relativeFrom="page">
              <wp:posOffset>2567305</wp:posOffset>
            </wp:positionH>
            <wp:positionV relativeFrom="paragraph">
              <wp:posOffset>171450</wp:posOffset>
            </wp:positionV>
            <wp:extent cx="2340610" cy="158496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340610" cy="15849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1554480" simplePos="0" relativeHeight="62914693" behindDoc="1" locked="0" layoutInCell="1" allowOverlap="1">
            <wp:simplePos x="0" y="0"/>
            <wp:positionH relativeFrom="page">
              <wp:posOffset>5882005</wp:posOffset>
            </wp:positionH>
            <wp:positionV relativeFrom="paragraph">
              <wp:posOffset>381000</wp:posOffset>
            </wp:positionV>
            <wp:extent cx="2182495" cy="143891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82495" cy="14389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64" w:right="1481" w:bottom="1192" w:left="1475" w:header="0" w:footer="764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8" w:val="left"/>
        </w:tabs>
        <w:bidi w:val="0"/>
        <w:spacing w:before="0" w:after="60" w:line="240" w:lineRule="auto"/>
        <w:ind w:left="0" w:right="0" w:firstLine="0"/>
        <w:jc w:val="left"/>
      </w:pPr>
      <w:bookmarkStart w:id="0" w:name="bookmark0"/>
      <w:bookmarkEnd w:id="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High-transparency polycarbonate injection molding, durable and easy to observe.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8" w:val="left"/>
        </w:tabs>
        <w:bidi w:val="0"/>
        <w:spacing w:before="0" w:after="60" w:line="240" w:lineRule="auto"/>
        <w:ind w:left="0" w:right="0" w:firstLine="0"/>
        <w:jc w:val="left"/>
      </w:pPr>
      <w:bookmarkStart w:id="1" w:name="bookmark1"/>
      <w:bookmarkEnd w:id="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The integrated design of the glass cushion strip ensures that there is no leakage of glue.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8" w:val="left"/>
        </w:tabs>
        <w:bidi w:val="0"/>
        <w:spacing w:before="0" w:after="60" w:line="240" w:lineRule="auto"/>
        <w:ind w:left="0" w:right="0" w:firstLine="0"/>
        <w:jc w:val="left"/>
      </w:pPr>
      <w:bookmarkStart w:id="2" w:name="bookmark2"/>
      <w:bookmarkEnd w:id="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The special glue making rack makes the glue making operation simple and reliable.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8" w:val="left"/>
        </w:tabs>
        <w:bidi w:val="0"/>
        <w:spacing w:before="0" w:after="60" w:line="240" w:lineRule="auto"/>
        <w:ind w:left="0" w:right="0" w:firstLine="0"/>
        <w:jc w:val="left"/>
      </w:pPr>
      <w:bookmarkStart w:id="3" w:name="bookmark3"/>
      <w:bookmarkEnd w:id="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Open the cover and cut off the power to ensure the safety of the experiment.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8" w:val="left"/>
        </w:tabs>
        <w:bidi w:val="0"/>
        <w:spacing w:before="0" w:after="60" w:line="240" w:lineRule="auto"/>
        <w:ind w:left="0" w:right="0" w:firstLine="0"/>
        <w:jc w:val="left"/>
      </w:pPr>
      <w:bookmarkStart w:id="4" w:name="bookmark4"/>
      <w:bookmarkEnd w:id="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The upper cover limit function ensures that the polarity of the electrode will not be connected incorrectly.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8" w:val="left"/>
        </w:tabs>
        <w:bidi w:val="0"/>
        <w:spacing w:before="0" w:after="60" w:line="240" w:lineRule="auto"/>
        <w:ind w:left="0" w:right="0" w:firstLine="0"/>
        <w:jc w:val="left"/>
      </w:pPr>
      <w:bookmarkStart w:id="5" w:name="bookmark5"/>
      <w:bookmarkEnd w:id="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The power-off function of opening the lid ensures the safety of the experiment.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8" w:val="left"/>
        </w:tabs>
        <w:bidi w:val="0"/>
        <w:spacing w:before="0" w:after="60" w:line="240" w:lineRule="auto"/>
        <w:ind w:left="0" w:right="0" w:firstLine="0"/>
        <w:jc w:val="left"/>
      </w:pPr>
      <w:bookmarkStart w:id="6" w:name="bookmark6"/>
      <w:bookmarkEnd w:id="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It can make double-board glue at the same time, with clear strips.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8" w:val="left"/>
        </w:tabs>
        <w:bidi w:val="0"/>
        <w:spacing w:before="0" w:after="60" w:line="240" w:lineRule="auto"/>
        <w:ind w:left="0" w:right="0" w:firstLine="0"/>
        <w:jc w:val="left"/>
      </w:pPr>
      <w:bookmarkStart w:id="7" w:name="bookmark7"/>
      <w:bookmarkEnd w:id="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99.99% high-purity platinum electrode, the best conductivity, strong corrosion resistance.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8" w:val="left"/>
        </w:tabs>
        <w:bidi w:val="0"/>
        <w:spacing w:before="0" w:after="60" w:line="240" w:lineRule="auto"/>
        <w:ind w:left="0" w:right="0" w:firstLine="0"/>
        <w:jc w:val="left"/>
      </w:pPr>
      <w:bookmarkStart w:id="8" w:name="bookmark8"/>
      <w:bookmarkEnd w:id="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Recommended power supply: BEP-3001, BEP-6001, BEP-600D.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Technical Parameters: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Features: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1" w:val="left"/>
        </w:tabs>
        <w:bidi w:val="0"/>
        <w:spacing w:before="0" w:after="0" w:line="240" w:lineRule="auto"/>
        <w:ind w:left="0" w:right="0" w:firstLine="0"/>
        <w:jc w:val="both"/>
      </w:pPr>
      <w:bookmarkStart w:id="9" w:name="bookmark9"/>
      <w:bookmarkEnd w:id="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High-transparency polycarbonate injection molding, durable and easy to observe.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1" w:val="left"/>
        </w:tabs>
        <w:bidi w:val="0"/>
        <w:spacing w:before="0" w:after="0" w:line="240" w:lineRule="auto"/>
        <w:ind w:left="0" w:right="0" w:firstLine="0"/>
        <w:jc w:val="both"/>
      </w:pPr>
      <w:bookmarkStart w:id="10" w:name="bookmark10"/>
      <w:bookmarkEnd w:id="1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The integrated design of the glass cushion strip ensures that there is no leakage of glue.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1" w:val="left"/>
        </w:tabs>
        <w:bidi w:val="0"/>
        <w:spacing w:before="0" w:after="0" w:line="240" w:lineRule="auto"/>
        <w:ind w:left="0" w:right="0" w:firstLine="0"/>
        <w:jc w:val="both"/>
      </w:pPr>
      <w:bookmarkStart w:id="11" w:name="bookmark11"/>
      <w:bookmarkEnd w:id="1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The special glue making rack makes the glue making operation simple and reliable.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1" w:val="left"/>
        </w:tabs>
        <w:bidi w:val="0"/>
        <w:spacing w:before="0" w:after="0" w:line="240" w:lineRule="auto"/>
        <w:ind w:left="0" w:right="0" w:firstLine="0"/>
        <w:jc w:val="both"/>
      </w:pPr>
      <w:bookmarkStart w:id="12" w:name="bookmark12"/>
      <w:bookmarkEnd w:id="1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Open the cover and cut off the power to ensure the safety of the experiment.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1" w:val="left"/>
        </w:tabs>
        <w:bidi w:val="0"/>
        <w:spacing w:before="0" w:after="0" w:line="240" w:lineRule="auto"/>
        <w:ind w:left="0" w:right="0" w:firstLine="0"/>
        <w:jc w:val="both"/>
      </w:pPr>
      <w:bookmarkStart w:id="13" w:name="bookmark13"/>
      <w:bookmarkEnd w:id="1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The upper cover limit function ensures that the polarity of the electrode will not be connected incorrectly.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1" w:val="left"/>
        </w:tabs>
        <w:bidi w:val="0"/>
        <w:spacing w:before="0" w:after="0" w:line="240" w:lineRule="auto"/>
        <w:ind w:left="0" w:right="0" w:firstLine="0"/>
        <w:jc w:val="both"/>
      </w:pPr>
      <w:bookmarkStart w:id="14" w:name="bookmark14"/>
      <w:bookmarkEnd w:id="1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The power-off function of opening the lid ensures the safety of the experiment.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1" w:val="left"/>
        </w:tabs>
        <w:bidi w:val="0"/>
        <w:spacing w:before="0" w:after="0" w:line="240" w:lineRule="auto"/>
        <w:ind w:left="0" w:right="0" w:firstLine="0"/>
        <w:jc w:val="both"/>
      </w:pPr>
      <w:bookmarkStart w:id="15" w:name="bookmark15"/>
      <w:bookmarkEnd w:id="1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It can make double-board glue at the same time, with clear strips.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1" w:val="left"/>
        </w:tabs>
        <w:bidi w:val="0"/>
        <w:spacing w:before="0" w:after="0" w:line="240" w:lineRule="auto"/>
        <w:ind w:left="0" w:right="0" w:firstLine="0"/>
        <w:jc w:val="both"/>
      </w:pPr>
      <w:bookmarkStart w:id="16" w:name="bookmark16"/>
      <w:bookmarkEnd w:id="1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99.99% high-purity platinum electrode, the best conductivity, strong corrosion resistance.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1" w:val="left"/>
        </w:tabs>
        <w:bidi w:val="0"/>
        <w:spacing w:before="0" w:after="0" w:line="240" w:lineRule="auto"/>
        <w:ind w:left="0" w:right="0" w:firstLine="0"/>
        <w:jc w:val="both"/>
      </w:pPr>
      <w:bookmarkStart w:id="17" w:name="bookmark17"/>
      <w:bookmarkEnd w:id="1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Recommended power supply: BEP-3001, BEP-6001, BEP-600D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188" w:right="2387" w:bottom="1192" w:left="1535" w:header="0" w:footer="3" w:gutter="0"/>
          <w:cols w:num="2" w:space="2205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Technical Parameters:</w:t>
      </w:r>
    </w:p>
    <w:tbl>
      <w:tblPr>
        <w:tblOverlap w:val="never"/>
        <w:jc w:val="center"/>
        <w:tblLayout w:type="fixed"/>
      </w:tblPr>
      <w:tblGrid>
        <w:gridCol w:w="1320"/>
        <w:gridCol w:w="4818"/>
      </w:tblGrid>
      <w:tr>
        <w:trPr>
          <w:trHeight w:val="22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3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141E48"/>
                <w:spacing w:val="0"/>
                <w:w w:val="100"/>
                <w:position w:val="0"/>
                <w:lang w:val="en-US" w:eastAsia="en-US" w:bidi="en-US"/>
              </w:rPr>
              <w:t>Model</w:t>
              <w:tab/>
              <w:t>BK-VET01</w:t>
            </w:r>
          </w:p>
        </w:tc>
      </w:tr>
      <w:tr>
        <w:trPr>
          <w:trHeight w:val="2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Glass Tray (W*L)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Thick type: 101*83mm, thin type: 101*73mm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Gel Trays(W*L)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Hand glue: 83*73mm, precast glue: 86*68mm</w:t>
            </w:r>
          </w:p>
        </w:tc>
      </w:tr>
      <w:tr>
        <w:trPr>
          <w:trHeight w:val="2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Comb Thickness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Standard 1.0mm, optional 0.75&amp;1.5mm</w:t>
            </w:r>
          </w:p>
        </w:tc>
      </w:tr>
      <w:tr>
        <w:trPr>
          <w:trHeight w:val="2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Comb Throughput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10,15 samples</w:t>
            </w:r>
          </w:p>
        </w:tc>
      </w:tr>
      <w:tr>
        <w:trPr>
          <w:trHeight w:val="2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Amount of Gel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1~2 pcs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NO. of Samples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10~30pcs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Buffer Volume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700ml</w:t>
            </w:r>
          </w:p>
        </w:tc>
      </w:tr>
      <w:tr>
        <w:trPr>
          <w:trHeight w:val="6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Standard Accessories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Body tank *1, Cap*1, Electrode core*1 set, Gel casting base*2, Gel frame*2,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Single glue baffle* 1, Gel shovel* 1, Glass plates*5 pairs, 1.0mm thicknesslO wells comb*2,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1.0mm thickness 15 wells comb*2</w:t>
            </w:r>
          </w:p>
        </w:tc>
      </w:tr>
      <w:tr>
        <w:trPr>
          <w:trHeight w:val="2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External Size (L*W*H)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150*120*130mm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Package Size(L*W*H)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400*350*300mm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Gross Weight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2.7kg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1314"/>
        <w:gridCol w:w="4812"/>
      </w:tblGrid>
      <w:tr>
        <w:trPr>
          <w:trHeight w:val="24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3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141E48"/>
                <w:spacing w:val="0"/>
                <w:w w:val="100"/>
                <w:position w:val="0"/>
                <w:lang w:val="en-US" w:eastAsia="en-US" w:bidi="en-US"/>
              </w:rPr>
              <w:t>Model</w:t>
              <w:tab/>
              <w:t>BK-VET02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Glass Tray (W*L)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Thick type: 101*83mm, thin type: 101*73mm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Gel Trays(W*L)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Hand glue: 83*73mm, precast glue: 86*68mm</w:t>
            </w:r>
          </w:p>
        </w:tc>
      </w:tr>
      <w:tr>
        <w:trPr>
          <w:trHeight w:val="2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Comb Thickness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Standard 1.0mm, optional 0.75&amp;1.5mm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Comb Throughput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 samples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Amount of Gel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1~4 pcs</w:t>
            </w:r>
          </w:p>
        </w:tc>
      </w:tr>
      <w:tr>
        <w:trPr>
          <w:trHeight w:val="2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NO. of Samples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10~40pcs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Buffer Volume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1000ml</w:t>
            </w:r>
          </w:p>
        </w:tc>
      </w:tr>
      <w:tr>
        <w:trPr>
          <w:trHeight w:val="4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Standard Accessories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Body tank *1, Cap*1, Electrode core*1 set, Gel casting base*2, Gel frame*4,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Single glue baffle*1, Gel shovel*1, Glass plates*5 pairs, 1.0mm thicknesslO wells comb*5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External Size (L*W*H)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180*130*130mm</w:t>
            </w:r>
          </w:p>
        </w:tc>
      </w:tr>
      <w:tr>
        <w:trPr>
          <w:trHeight w:val="2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Package Size(L*W*H)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400*350*300mm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Gross Weight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3.9kg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188" w:right="1583" w:bottom="1192" w:left="1577" w:header="0" w:footer="3" w:gutter="0"/>
          <w:cols w:num="2" w:space="1415"/>
          <w:noEndnote/>
          <w:rtlGutter w:val="0"/>
          <w:docGrid w:linePitch="360"/>
        </w:sectPr>
      </w:pPr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64" w:right="0" w:bottom="119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270" w:h="180" w:wrap="none" w:vAnchor="text" w:hAnchor="page" w:x="147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lang w:val="en-US" w:eastAsia="en-US" w:bidi="en-US"/>
        </w:rPr>
        <w:t>249</w:t>
      </w:r>
    </w:p>
    <w:p>
      <w:pPr>
        <w:pStyle w:val="Style13"/>
        <w:keepNext w:val="0"/>
        <w:keepLines w:val="0"/>
        <w:framePr w:w="264" w:h="180" w:wrap="none" w:vAnchor="text" w:hAnchor="page" w:x="1509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lang w:val="en-US" w:eastAsia="en-US" w:bidi="en-US"/>
        </w:rPr>
        <w:t>250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664" w:right="1481" w:bottom="1192" w:left="147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1001395</wp:posOffset>
              </wp:positionH>
              <wp:positionV relativeFrom="page">
                <wp:posOffset>836930</wp:posOffset>
              </wp:positionV>
              <wp:extent cx="8686800" cy="1562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686800" cy="1562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368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41E48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BIOBASG®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41E48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lang w:val="en-US" w:eastAsia="en-US" w:bidi="en-US"/>
                            </w:rPr>
                            <w:t>BIOBASG CHINA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850000000000009pt;margin-top:65.900000000000006pt;width:684.pt;height:12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36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41E48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BIOBASG®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141E48"/>
                        <w:spacing w:val="0"/>
                        <w:w w:val="100"/>
                        <w:position w:val="0"/>
                        <w:sz w:val="11"/>
                        <w:szCs w:val="11"/>
                        <w:lang w:val="en-US" w:eastAsia="en-US" w:bidi="en-US"/>
                      </w:rPr>
                      <w:t>BIOBASG CHINA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551815</wp:posOffset>
              </wp:positionH>
              <wp:positionV relativeFrom="page">
                <wp:posOffset>1042670</wp:posOffset>
              </wp:positionV>
              <wp:extent cx="958977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9589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450000000000003pt;margin-top:82.100000000000009pt;width:75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*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7">
    <w:name w:val="Body text|3_"/>
    <w:basedOn w:val="DefaultParagraphFont"/>
    <w:link w:val="Style6"/>
    <w:rPr>
      <w:b w:val="0"/>
      <w:bCs w:val="0"/>
      <w:i w:val="0"/>
      <w:iCs w:val="0"/>
      <w:smallCaps w:val="0"/>
      <w:strike w:val="0"/>
      <w:color w:val="141E48"/>
      <w:sz w:val="22"/>
      <w:szCs w:val="22"/>
      <w:u w:val="none"/>
      <w:shd w:val="clear" w:color="auto" w:fill="auto"/>
    </w:rPr>
  </w:style>
  <w:style w:type="character" w:customStyle="1" w:styleId="CharStyle9">
    <w:name w:val="Picture caption|1_"/>
    <w:basedOn w:val="DefaultParagraphFont"/>
    <w:link w:val="Style8"/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12">
    <w:name w:val="Body text|1_"/>
    <w:basedOn w:val="DefaultParagraphFont"/>
    <w:link w:val="Style11"/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14">
    <w:name w:val="Body text|2_"/>
    <w:basedOn w:val="DefaultParagraphFont"/>
    <w:link w:val="Style13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16">
    <w:name w:val="Other|1_"/>
    <w:basedOn w:val="DefaultParagraphFont"/>
    <w:link w:val="Style15"/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6">
    <w:name w:val="Body text|3"/>
    <w:basedOn w:val="Normal"/>
    <w:link w:val="CharStyle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141E48"/>
      <w:sz w:val="22"/>
      <w:szCs w:val="22"/>
      <w:u w:val="none"/>
      <w:shd w:val="clear" w:color="auto" w:fill="auto"/>
    </w:rPr>
  </w:style>
  <w:style w:type="paragraph" w:customStyle="1" w:styleId="Style8">
    <w:name w:val="Picture caption|1"/>
    <w:basedOn w:val="Normal"/>
    <w:link w:val="CharStyle9"/>
    <w:pPr>
      <w:widowControl w:val="0"/>
      <w:shd w:val="clear" w:color="auto" w:fill="auto"/>
      <w:spacing w:after="150" w:line="434" w:lineRule="auto"/>
    </w:pPr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11">
    <w:name w:val="Body text|1"/>
    <w:basedOn w:val="Normal"/>
    <w:link w:val="CharStyle12"/>
    <w:pPr>
      <w:widowControl w:val="0"/>
      <w:shd w:val="clear" w:color="auto" w:fill="auto"/>
      <w:spacing w:after="30"/>
    </w:pPr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15">
    <w:name w:val="Other|1"/>
    <w:basedOn w:val="Normal"/>
    <w:link w:val="CharStyle16"/>
    <w:pPr>
      <w:widowControl w:val="0"/>
      <w:shd w:val="clear" w:color="auto" w:fill="auto"/>
      <w:spacing w:after="30"/>
    </w:pPr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